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19" w:rsidRPr="00DE6819" w:rsidRDefault="00DE6819" w:rsidP="00DE681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587">
        <w:rPr>
          <w:rFonts w:ascii="Times New Roman" w:hAnsi="Times New Roman" w:cs="Times New Roman"/>
          <w:color w:val="000000"/>
          <w:sz w:val="28"/>
          <w:szCs w:val="28"/>
        </w:rPr>
        <w:t>Графики динамического наблюдения за территорией по основным показателям социально – гигиенического мониторинга, интегрированным с наблюдениями за косвенными показателями программ достижения показателей ЦУР</w:t>
      </w:r>
    </w:p>
    <w:p w:rsidR="00DE6819" w:rsidRDefault="00DE6819" w:rsidP="00A56E02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4467" w:rsidRDefault="005C4467" w:rsidP="00A56E02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467">
        <w:rPr>
          <w:rFonts w:ascii="Times New Roman" w:hAnsi="Times New Roman" w:cs="Times New Roman"/>
          <w:b/>
          <w:color w:val="000000"/>
          <w:sz w:val="28"/>
          <w:szCs w:val="28"/>
        </w:rPr>
        <w:t>Заболеваемость ООИ</w:t>
      </w:r>
      <w:r w:rsidR="00A56E0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A56E02" w:rsidRPr="005C4467">
        <w:rPr>
          <w:rFonts w:ascii="Times New Roman" w:hAnsi="Times New Roman" w:cs="Times New Roman"/>
          <w:b/>
          <w:color w:val="000000"/>
          <w:sz w:val="28"/>
          <w:szCs w:val="28"/>
        </w:rPr>
        <w:t>легионеллезом</w:t>
      </w:r>
      <w:r w:rsidR="00A56E0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A56E02" w:rsidRPr="005C4467">
        <w:rPr>
          <w:rFonts w:ascii="Times New Roman" w:hAnsi="Times New Roman" w:cs="Times New Roman"/>
          <w:b/>
          <w:color w:val="000000"/>
          <w:sz w:val="28"/>
          <w:szCs w:val="28"/>
        </w:rPr>
        <w:t>листериозом</w:t>
      </w:r>
      <w:r w:rsidR="00A56E0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A56E02" w:rsidRPr="005C4467">
        <w:rPr>
          <w:rFonts w:ascii="Times New Roman" w:hAnsi="Times New Roman" w:cs="Times New Roman"/>
          <w:b/>
          <w:color w:val="000000"/>
          <w:sz w:val="28"/>
          <w:szCs w:val="28"/>
        </w:rPr>
        <w:t>лептоспирозом</w:t>
      </w:r>
      <w:r w:rsidR="00A56E0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A56E02" w:rsidRPr="005C4467">
        <w:rPr>
          <w:rFonts w:ascii="Times New Roman" w:hAnsi="Times New Roman" w:cs="Times New Roman"/>
          <w:b/>
          <w:color w:val="000000"/>
          <w:sz w:val="28"/>
          <w:szCs w:val="28"/>
        </w:rPr>
        <w:t>туляремией</w:t>
      </w:r>
      <w:r w:rsidR="00A56E0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A56E02" w:rsidRPr="005C4467">
        <w:rPr>
          <w:rFonts w:ascii="Times New Roman" w:hAnsi="Times New Roman" w:cs="Times New Roman"/>
          <w:b/>
          <w:color w:val="000000"/>
          <w:sz w:val="28"/>
          <w:szCs w:val="28"/>
        </w:rPr>
        <w:t>центральн</w:t>
      </w:r>
      <w:r w:rsidR="00DC5964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A56E02" w:rsidRPr="005C44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-европейским (западным) клещевым энцефалитом </w:t>
      </w:r>
      <w:r w:rsidR="00A56E02" w:rsidRPr="005C4467">
        <w:rPr>
          <w:rFonts w:ascii="Times New Roman" w:hAnsi="Times New Roman" w:cs="Times New Roman"/>
          <w:color w:val="000000"/>
          <w:sz w:val="28"/>
          <w:szCs w:val="28"/>
        </w:rPr>
        <w:t xml:space="preserve">(на 100 тыс. населения) </w:t>
      </w:r>
      <w:r w:rsidR="004372EB">
        <w:rPr>
          <w:rFonts w:ascii="Times New Roman" w:hAnsi="Times New Roman" w:cs="Times New Roman"/>
          <w:color w:val="000000"/>
          <w:sz w:val="28"/>
          <w:szCs w:val="28"/>
        </w:rPr>
        <w:t>– 2018-2023</w:t>
      </w:r>
      <w:r w:rsidR="00CF0AF9">
        <w:rPr>
          <w:rFonts w:ascii="Times New Roman" w:hAnsi="Times New Roman" w:cs="Times New Roman"/>
          <w:color w:val="000000"/>
          <w:sz w:val="28"/>
          <w:szCs w:val="28"/>
        </w:rPr>
        <w:t>гг. – 0.</w:t>
      </w:r>
    </w:p>
    <w:p w:rsidR="00CF0AF9" w:rsidRPr="005C4467" w:rsidRDefault="00CF0AF9" w:rsidP="00A56E02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6E02" w:rsidRDefault="00A56E02" w:rsidP="00A56E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be-BY" w:eastAsia="be-BY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6E02" w:rsidRPr="00A56E02" w:rsidRDefault="00A56E02" w:rsidP="00A56E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683B" w:rsidRDefault="005C4467" w:rsidP="00CF0AF9">
      <w:pPr>
        <w:spacing w:after="0"/>
        <w:ind w:left="284" w:hanging="284"/>
        <w:rPr>
          <w:rFonts w:ascii="Times New Roman" w:hAnsi="Times New Roman" w:cs="Times New Roman"/>
        </w:rPr>
      </w:pPr>
      <w:r w:rsidRPr="005C4467">
        <w:rPr>
          <w:rFonts w:ascii="Times New Roman" w:hAnsi="Times New Roman" w:cs="Times New Roman"/>
          <w:noProof/>
          <w:lang w:val="be-BY" w:eastAsia="be-BY"/>
        </w:rPr>
        <w:drawing>
          <wp:inline distT="0" distB="0" distL="0" distR="0">
            <wp:extent cx="5486400" cy="3200400"/>
            <wp:effectExtent l="0" t="0" r="0" b="0"/>
            <wp:docPr id="2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4467" w:rsidRDefault="005C4467" w:rsidP="005C4467">
      <w:pPr>
        <w:spacing w:after="0"/>
        <w:rPr>
          <w:rFonts w:ascii="Times New Roman" w:hAnsi="Times New Roman" w:cs="Times New Roman"/>
        </w:rPr>
      </w:pPr>
    </w:p>
    <w:p w:rsidR="00AD31D5" w:rsidRDefault="00AD31D5" w:rsidP="005C4467">
      <w:pPr>
        <w:spacing w:after="0"/>
        <w:rPr>
          <w:rFonts w:ascii="Times New Roman" w:hAnsi="Times New Roman" w:cs="Times New Roman"/>
        </w:rPr>
      </w:pPr>
    </w:p>
    <w:p w:rsidR="00AD31D5" w:rsidRDefault="00AD31D5" w:rsidP="005C4467">
      <w:pPr>
        <w:spacing w:after="0"/>
        <w:rPr>
          <w:rFonts w:ascii="Times New Roman" w:hAnsi="Times New Roman" w:cs="Times New Roman"/>
        </w:rPr>
      </w:pPr>
    </w:p>
    <w:p w:rsidR="00AD31D5" w:rsidRDefault="00AD31D5" w:rsidP="005C4467">
      <w:pPr>
        <w:spacing w:after="0"/>
        <w:rPr>
          <w:rFonts w:ascii="Times New Roman" w:hAnsi="Times New Roman" w:cs="Times New Roman"/>
        </w:rPr>
      </w:pPr>
    </w:p>
    <w:p w:rsidR="00CF0AF9" w:rsidRDefault="00CF0AF9" w:rsidP="00A56E02">
      <w:pPr>
        <w:pStyle w:val="a9"/>
        <w:ind w:left="0" w:firstLine="720"/>
        <w:jc w:val="both"/>
        <w:rPr>
          <w:sz w:val="28"/>
          <w:szCs w:val="28"/>
        </w:rPr>
      </w:pPr>
      <w:r w:rsidRPr="00CF0AF9">
        <w:rPr>
          <w:noProof/>
          <w:sz w:val="28"/>
          <w:szCs w:val="28"/>
          <w:lang w:val="be-BY" w:eastAsia="be-BY"/>
        </w:rPr>
        <w:drawing>
          <wp:inline distT="0" distB="0" distL="0" distR="0">
            <wp:extent cx="5486400" cy="320040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0AF9" w:rsidRDefault="00CF0AF9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CF0AF9" w:rsidRDefault="00CF0AF9" w:rsidP="00A56E02">
      <w:pPr>
        <w:pStyle w:val="a9"/>
        <w:ind w:left="0" w:firstLine="720"/>
        <w:jc w:val="both"/>
        <w:rPr>
          <w:sz w:val="28"/>
          <w:szCs w:val="28"/>
        </w:rPr>
      </w:pPr>
      <w:r w:rsidRPr="00CF0AF9">
        <w:rPr>
          <w:noProof/>
          <w:sz w:val="28"/>
          <w:szCs w:val="28"/>
          <w:lang w:val="be-BY" w:eastAsia="be-BY"/>
        </w:rPr>
        <w:drawing>
          <wp:inline distT="0" distB="0" distL="0" distR="0">
            <wp:extent cx="5486400" cy="3200400"/>
            <wp:effectExtent l="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3BFB" w:rsidRPr="00D63893" w:rsidRDefault="00373BFB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CF0AF9" w:rsidRDefault="00CF0AF9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CF0AF9" w:rsidRDefault="00CF0AF9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CF0AF9" w:rsidRDefault="00CF0AF9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B56A97" w:rsidRDefault="00B56A97" w:rsidP="00A56E02">
      <w:pPr>
        <w:pStyle w:val="a9"/>
        <w:ind w:left="0" w:firstLine="720"/>
        <w:jc w:val="both"/>
        <w:rPr>
          <w:sz w:val="28"/>
          <w:szCs w:val="28"/>
        </w:rPr>
      </w:pPr>
      <w:r w:rsidRPr="004F4AAB">
        <w:rPr>
          <w:noProof/>
          <w:sz w:val="28"/>
          <w:szCs w:val="28"/>
          <w:lang w:val="be-BY" w:eastAsia="be-BY"/>
        </w:rPr>
        <w:lastRenderedPageBreak/>
        <w:drawing>
          <wp:inline distT="0" distB="0" distL="0" distR="0">
            <wp:extent cx="5486400" cy="3200400"/>
            <wp:effectExtent l="0" t="0" r="0" b="0"/>
            <wp:docPr id="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6A97" w:rsidRDefault="00B56A97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CF0AF9" w:rsidRDefault="004F4AAB" w:rsidP="00A56E02">
      <w:pPr>
        <w:pStyle w:val="a9"/>
        <w:ind w:left="0" w:firstLine="720"/>
        <w:jc w:val="both"/>
        <w:rPr>
          <w:sz w:val="28"/>
          <w:szCs w:val="28"/>
        </w:rPr>
      </w:pPr>
      <w:r w:rsidRPr="004F4AAB">
        <w:rPr>
          <w:noProof/>
          <w:sz w:val="28"/>
          <w:szCs w:val="28"/>
          <w:lang w:val="be-BY" w:eastAsia="be-BY"/>
        </w:rPr>
        <w:drawing>
          <wp:inline distT="0" distB="0" distL="0" distR="0">
            <wp:extent cx="5486400" cy="3200400"/>
            <wp:effectExtent l="0" t="0" r="0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31D5" w:rsidRDefault="00AD31D5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AD31D5" w:rsidRDefault="00AD31D5" w:rsidP="00A56E02">
      <w:pPr>
        <w:pStyle w:val="a9"/>
        <w:ind w:left="0" w:firstLine="720"/>
        <w:jc w:val="both"/>
        <w:rPr>
          <w:sz w:val="28"/>
          <w:szCs w:val="28"/>
        </w:rPr>
      </w:pPr>
      <w:r w:rsidRPr="00AD31D5">
        <w:rPr>
          <w:noProof/>
          <w:sz w:val="28"/>
          <w:szCs w:val="28"/>
          <w:lang w:val="be-BY" w:eastAsia="be-BY"/>
        </w:rPr>
        <w:lastRenderedPageBreak/>
        <w:drawing>
          <wp:inline distT="0" distB="0" distL="0" distR="0">
            <wp:extent cx="5486400" cy="3200400"/>
            <wp:effectExtent l="0" t="0" r="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31D5" w:rsidRDefault="00AD31D5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AD31D5" w:rsidRDefault="00AD31D5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AD31D5" w:rsidRDefault="00AD31D5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A56E02" w:rsidRPr="00CC46EB" w:rsidRDefault="00AD31D5" w:rsidP="00A56E02">
      <w:pPr>
        <w:jc w:val="both"/>
        <w:rPr>
          <w:sz w:val="28"/>
        </w:rPr>
      </w:pPr>
      <w:r w:rsidRPr="00AD31D5">
        <w:rPr>
          <w:noProof/>
          <w:sz w:val="28"/>
          <w:lang w:val="be-BY" w:eastAsia="be-BY"/>
        </w:rPr>
        <w:drawing>
          <wp:inline distT="0" distB="0" distL="0" distR="0">
            <wp:extent cx="5486400" cy="3200400"/>
            <wp:effectExtent l="0" t="0" r="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6E02" w:rsidRPr="005C4467" w:rsidRDefault="00A56E02" w:rsidP="005C4467">
      <w:pPr>
        <w:spacing w:after="0"/>
        <w:rPr>
          <w:rFonts w:ascii="Times New Roman" w:hAnsi="Times New Roman" w:cs="Times New Roman"/>
        </w:rPr>
      </w:pPr>
    </w:p>
    <w:p w:rsidR="00F2683B" w:rsidRDefault="00151B95">
      <w:r>
        <w:rPr>
          <w:noProof/>
          <w:lang w:val="be-BY" w:eastAsia="be-BY"/>
        </w:rPr>
        <w:lastRenderedPageBreak/>
        <w:drawing>
          <wp:inline distT="0" distB="0" distL="0" distR="0" wp14:anchorId="2EDB9150">
            <wp:extent cx="5511165" cy="32251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322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3DDE" w:rsidRPr="007F3DDE" w:rsidRDefault="00151B95" w:rsidP="007F3DDE">
      <w:r>
        <w:rPr>
          <w:noProof/>
          <w:lang w:val="be-BY" w:eastAsia="be-BY"/>
        </w:rPr>
        <w:drawing>
          <wp:inline distT="0" distB="0" distL="0" distR="0" wp14:anchorId="671CA996">
            <wp:extent cx="5499100" cy="321310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3DDE" w:rsidRPr="007F3DDE" w:rsidRDefault="007F3DDE" w:rsidP="007F3DDE"/>
    <w:p w:rsidR="007F3DDE" w:rsidRPr="007F3DDE" w:rsidRDefault="00151B95" w:rsidP="007F3DDE">
      <w:r>
        <w:rPr>
          <w:noProof/>
          <w:lang w:val="be-BY" w:eastAsia="be-BY"/>
        </w:rPr>
        <w:lastRenderedPageBreak/>
        <w:drawing>
          <wp:inline distT="0" distB="0" distL="0" distR="0" wp14:anchorId="4F079B4E">
            <wp:extent cx="5499100" cy="321310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3DDE" w:rsidRPr="007F3DDE" w:rsidRDefault="00151B95" w:rsidP="007F3DDE">
      <w:r>
        <w:rPr>
          <w:noProof/>
          <w:lang w:val="be-BY" w:eastAsia="be-BY"/>
        </w:rPr>
        <w:drawing>
          <wp:inline distT="0" distB="0" distL="0" distR="0" wp14:anchorId="65A5518B">
            <wp:extent cx="5499100" cy="3213100"/>
            <wp:effectExtent l="0" t="0" r="635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3DDE" w:rsidRPr="007F3DDE" w:rsidRDefault="007F3DDE" w:rsidP="007F3DDE"/>
    <w:p w:rsidR="007F3DDE" w:rsidRPr="007F3DDE" w:rsidRDefault="00151B95" w:rsidP="007F3DDE">
      <w:r>
        <w:rPr>
          <w:noProof/>
          <w:lang w:val="be-BY" w:eastAsia="be-BY"/>
        </w:rPr>
        <w:lastRenderedPageBreak/>
        <w:drawing>
          <wp:inline distT="0" distB="0" distL="0" distR="0" wp14:anchorId="0EBC2B48">
            <wp:extent cx="5499100" cy="3213100"/>
            <wp:effectExtent l="0" t="0" r="635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3DDE" w:rsidRPr="007F3DDE" w:rsidRDefault="00151B95" w:rsidP="007F3DDE">
      <w:r>
        <w:rPr>
          <w:noProof/>
          <w:lang w:val="be-BY" w:eastAsia="be-BY"/>
        </w:rPr>
        <w:drawing>
          <wp:inline distT="0" distB="0" distL="0" distR="0" wp14:anchorId="4F932CD1">
            <wp:extent cx="5499100" cy="3213100"/>
            <wp:effectExtent l="0" t="0" r="635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3DDE" w:rsidRPr="007F3DDE" w:rsidRDefault="007F3DDE" w:rsidP="007F3DDE"/>
    <w:p w:rsidR="007F3DDE" w:rsidRPr="007F3DDE" w:rsidRDefault="00151B95" w:rsidP="007F3DDE">
      <w:bookmarkStart w:id="0" w:name="_GoBack"/>
      <w:bookmarkEnd w:id="0"/>
      <w:r>
        <w:rPr>
          <w:noProof/>
          <w:lang w:val="be-BY" w:eastAsia="be-BY"/>
        </w:rPr>
        <w:lastRenderedPageBreak/>
        <w:drawing>
          <wp:inline distT="0" distB="0" distL="0" distR="0" wp14:anchorId="7D1BD84A">
            <wp:extent cx="5499100" cy="3213100"/>
            <wp:effectExtent l="0" t="0" r="635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3DDE" w:rsidRPr="007F3DDE" w:rsidRDefault="007F3DDE" w:rsidP="007F3DDE"/>
    <w:p w:rsidR="007F3DDE" w:rsidRPr="007F3DDE" w:rsidRDefault="007F3DDE" w:rsidP="007F3DDE"/>
    <w:p w:rsidR="007F3DDE" w:rsidRPr="007F3DDE" w:rsidRDefault="007F3DDE" w:rsidP="007F3DDE"/>
    <w:p w:rsidR="007F3DDE" w:rsidRPr="007F3DDE" w:rsidRDefault="007F3DDE" w:rsidP="007F3DDE"/>
    <w:p w:rsidR="007F3DDE" w:rsidRPr="007F3DDE" w:rsidRDefault="007F3DDE" w:rsidP="007F3DDE"/>
    <w:p w:rsidR="007F3DDE" w:rsidRPr="007F3DDE" w:rsidRDefault="007F3DDE" w:rsidP="007F3DDE"/>
    <w:p w:rsidR="00F2683B" w:rsidRDefault="00F2683B" w:rsidP="002C4587"/>
    <w:sectPr w:rsidR="00F2683B" w:rsidSect="005C44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6D" w:rsidRDefault="003A5F6D" w:rsidP="005C4467">
      <w:pPr>
        <w:spacing w:after="0" w:line="240" w:lineRule="auto"/>
      </w:pPr>
      <w:r>
        <w:separator/>
      </w:r>
    </w:p>
  </w:endnote>
  <w:endnote w:type="continuationSeparator" w:id="0">
    <w:p w:rsidR="003A5F6D" w:rsidRDefault="003A5F6D" w:rsidP="005C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6D" w:rsidRDefault="003A5F6D" w:rsidP="005C4467">
      <w:pPr>
        <w:spacing w:after="0" w:line="240" w:lineRule="auto"/>
      </w:pPr>
      <w:r>
        <w:separator/>
      </w:r>
    </w:p>
  </w:footnote>
  <w:footnote w:type="continuationSeparator" w:id="0">
    <w:p w:rsidR="003A5F6D" w:rsidRDefault="003A5F6D" w:rsidP="005C4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3B"/>
    <w:rsid w:val="000A087F"/>
    <w:rsid w:val="000A4AC0"/>
    <w:rsid w:val="00125CE8"/>
    <w:rsid w:val="00151B95"/>
    <w:rsid w:val="002A7FDC"/>
    <w:rsid w:val="002C4587"/>
    <w:rsid w:val="003134C3"/>
    <w:rsid w:val="00373BFB"/>
    <w:rsid w:val="003A5F6D"/>
    <w:rsid w:val="0041745F"/>
    <w:rsid w:val="004372EB"/>
    <w:rsid w:val="004A50ED"/>
    <w:rsid w:val="004F4AAB"/>
    <w:rsid w:val="00545759"/>
    <w:rsid w:val="005A0AFA"/>
    <w:rsid w:val="005B0F98"/>
    <w:rsid w:val="005C4467"/>
    <w:rsid w:val="005D6986"/>
    <w:rsid w:val="00651442"/>
    <w:rsid w:val="006A1D1A"/>
    <w:rsid w:val="006B099F"/>
    <w:rsid w:val="007446DC"/>
    <w:rsid w:val="007F3DDE"/>
    <w:rsid w:val="00827522"/>
    <w:rsid w:val="00881F47"/>
    <w:rsid w:val="00937D6F"/>
    <w:rsid w:val="00952A43"/>
    <w:rsid w:val="0098059B"/>
    <w:rsid w:val="00993451"/>
    <w:rsid w:val="00A17A85"/>
    <w:rsid w:val="00A56E02"/>
    <w:rsid w:val="00AC2C0A"/>
    <w:rsid w:val="00AD31D5"/>
    <w:rsid w:val="00B56A97"/>
    <w:rsid w:val="00C849A9"/>
    <w:rsid w:val="00CF0AF9"/>
    <w:rsid w:val="00D24C7A"/>
    <w:rsid w:val="00D35C90"/>
    <w:rsid w:val="00DC5964"/>
    <w:rsid w:val="00DD196E"/>
    <w:rsid w:val="00DE6819"/>
    <w:rsid w:val="00E27EFD"/>
    <w:rsid w:val="00E4062F"/>
    <w:rsid w:val="00EB7E7A"/>
    <w:rsid w:val="00F2683B"/>
    <w:rsid w:val="00F5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606DC-7232-44BA-A380-DE2ACB57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8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C4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4467"/>
  </w:style>
  <w:style w:type="paragraph" w:styleId="a7">
    <w:name w:val="footer"/>
    <w:basedOn w:val="a"/>
    <w:link w:val="a8"/>
    <w:uiPriority w:val="99"/>
    <w:semiHidden/>
    <w:unhideWhenUsed/>
    <w:rsid w:val="005C4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467"/>
  </w:style>
  <w:style w:type="paragraph" w:styleId="a9">
    <w:name w:val="List Paragraph"/>
    <w:basedOn w:val="a"/>
    <w:link w:val="aa"/>
    <w:uiPriority w:val="99"/>
    <w:qFormat/>
    <w:rsid w:val="00A56E0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99"/>
    <w:locked/>
    <w:rsid w:val="00A56E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10" Type="http://schemas.openxmlformats.org/officeDocument/2006/relationships/chart" Target="charts/chart5.xml"/><Relationship Id="rId19" Type="http://schemas.openxmlformats.org/officeDocument/2006/relationships/image" Target="media/image6.png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аболеваемости Лайм-боррелиозом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(на 100 тыс. населения) в 2018-2023 г.г.</a:t>
            </a:r>
          </a:p>
        </c:rich>
      </c:tx>
      <c:layout>
        <c:manualLayout>
          <c:xMode val="edge"/>
          <c:yMode val="edge"/>
          <c:x val="0.10615157480314967"/>
          <c:y val="2.3809523809523822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аболеваемость Лайм-боррелиозом (на 100 тыс. населения) в 2018-2021 г.г.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</c:v>
                </c:pt>
                <c:pt idx="1">
                  <c:v>67</c:v>
                </c:pt>
                <c:pt idx="2">
                  <c:v>21.9</c:v>
                </c:pt>
                <c:pt idx="3">
                  <c:v>10.99</c:v>
                </c:pt>
                <c:pt idx="4">
                  <c:v>28.3</c:v>
                </c:pt>
                <c:pt idx="5">
                  <c:v>17.27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65686096"/>
        <c:axId val="-165685008"/>
      </c:lineChart>
      <c:catAx>
        <c:axId val="-16568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65685008"/>
        <c:crosses val="autoZero"/>
        <c:auto val="1"/>
        <c:lblAlgn val="ctr"/>
        <c:lblOffset val="100"/>
        <c:noMultiLvlLbl val="0"/>
      </c:catAx>
      <c:valAx>
        <c:axId val="-16568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65686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выбросов загрязняющих веществ в атмосферу в Белыничском районе от стационарных источников (тысяч тонн) в 2015-2021 г.г. 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тысяч тонн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2.1</c:v>
                </c:pt>
                <c:pt idx="1">
                  <c:v>1.3</c:v>
                </c:pt>
                <c:pt idx="2">
                  <c:v>1.5</c:v>
                </c:pt>
                <c:pt idx="3">
                  <c:v>0.8</c:v>
                </c:pt>
                <c:pt idx="4">
                  <c:v>1.1000000000000001</c:v>
                </c:pt>
                <c:pt idx="5">
                  <c:v>1.1000000000000001</c:v>
                </c:pt>
                <c:pt idx="6">
                  <c:v>0.64900000000000002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7A-4378-B786-4540F50F7F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65684464"/>
        <c:axId val="-165691536"/>
      </c:barChart>
      <c:catAx>
        <c:axId val="-165684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e-BY"/>
          </a:p>
        </c:txPr>
        <c:crossAx val="-165691536"/>
        <c:crosses val="autoZero"/>
        <c:auto val="1"/>
        <c:lblAlgn val="ctr"/>
        <c:lblOffset val="100"/>
        <c:noMultiLvlLbl val="0"/>
      </c:catAx>
      <c:valAx>
        <c:axId val="-165691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e-BY"/>
          </a:p>
        </c:txPr>
        <c:crossAx val="-165684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e-BY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e-BY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заболеваемости хроническими бронхитами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взрослого населения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(на 1000 населения) в 2019-2023 г.г.</a:t>
            </a:r>
          </a:p>
        </c:rich>
      </c:tx>
      <c:layout>
        <c:manualLayout>
          <c:xMode val="edge"/>
          <c:yMode val="edge"/>
          <c:x val="0.1061515748031497"/>
          <c:y val="2.3809523809523812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заболеваемости хроническими бронхитами взрослого населения в 2019-2021 г.г.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7.4</c:v>
                </c:pt>
                <c:pt idx="1">
                  <c:v>7.2</c:v>
                </c:pt>
                <c:pt idx="2">
                  <c:v>5.99</c:v>
                </c:pt>
                <c:pt idx="3">
                  <c:v>6.4</c:v>
                </c:pt>
                <c:pt idx="4">
                  <c:v>6.4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3844336"/>
        <c:axId val="753848144"/>
      </c:lineChart>
      <c:catAx>
        <c:axId val="75384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53848144"/>
        <c:crosses val="autoZero"/>
        <c:auto val="1"/>
        <c:lblAlgn val="ctr"/>
        <c:lblOffset val="100"/>
        <c:noMultiLvlLbl val="0"/>
      </c:catAx>
      <c:valAx>
        <c:axId val="753848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3844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заболеваемости бронхиальной астмой взрослого населения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(на 1000 населения) в 2019-2023 г.г.</a:t>
            </a:r>
          </a:p>
        </c:rich>
      </c:tx>
      <c:layout>
        <c:manualLayout>
          <c:xMode val="edge"/>
          <c:yMode val="edge"/>
          <c:x val="0.1061515748031497"/>
          <c:y val="2.3809523809523812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заболеваемости бронхиальной астмой взрослого населения (на 1000 населения) в 2019-2021 г.г.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8.3000000000000007</c:v>
                </c:pt>
                <c:pt idx="1">
                  <c:v>8.4</c:v>
                </c:pt>
                <c:pt idx="2">
                  <c:v>8.1999999999999993</c:v>
                </c:pt>
                <c:pt idx="3">
                  <c:v>7.35</c:v>
                </c:pt>
                <c:pt idx="4">
                  <c:v>8.6999999999999993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11085008"/>
        <c:axId val="-511087728"/>
      </c:lineChart>
      <c:catAx>
        <c:axId val="-511085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511087728"/>
        <c:crosses val="autoZero"/>
        <c:auto val="1"/>
        <c:lblAlgn val="ctr"/>
        <c:lblOffset val="100"/>
        <c:noMultiLvlLbl val="0"/>
      </c:catAx>
      <c:valAx>
        <c:axId val="-511087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11085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заболеваемости врожденными заболеваниями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(на 1000 населения) в 2016-2023 г.г.</a:t>
            </a:r>
          </a:p>
        </c:rich>
      </c:tx>
      <c:layout>
        <c:manualLayout>
          <c:xMode val="edge"/>
          <c:yMode val="edge"/>
          <c:x val="0.10615157480314975"/>
          <c:y val="2.3809523809523812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заболеваемости врожденными аномалиями (на 1000 населения) в 2015-2021 г.г.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1.3</c:v>
                </c:pt>
                <c:pt idx="1">
                  <c:v>1.4</c:v>
                </c:pt>
                <c:pt idx="2">
                  <c:v>2.2000000000000002</c:v>
                </c:pt>
                <c:pt idx="3">
                  <c:v>1.9</c:v>
                </c:pt>
                <c:pt idx="4">
                  <c:v>1.8</c:v>
                </c:pt>
                <c:pt idx="5">
                  <c:v>1.8</c:v>
                </c:pt>
                <c:pt idx="6">
                  <c:v>1.2</c:v>
                </c:pt>
                <c:pt idx="7">
                  <c:v>1.8</c:v>
                </c:pt>
                <c:pt idx="8">
                  <c:v>1.6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11086640"/>
        <c:axId val="-511090448"/>
      </c:lineChart>
      <c:catAx>
        <c:axId val="-511086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511090448"/>
        <c:crosses val="autoZero"/>
        <c:auto val="1"/>
        <c:lblAlgn val="ctr"/>
        <c:lblOffset val="100"/>
        <c:noMultiLvlLbl val="0"/>
      </c:catAx>
      <c:valAx>
        <c:axId val="-511090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11086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заболеваемости детей и подростков пневмониями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(на 1000 населения) в 2017-2023 г.г.</a:t>
            </a:r>
          </a:p>
        </c:rich>
      </c:tx>
      <c:layout>
        <c:manualLayout>
          <c:xMode val="edge"/>
          <c:yMode val="edge"/>
          <c:x val="0.10615157480314975"/>
          <c:y val="2.3809523809523812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заболеваемости детей и подростков пневмониями (на 1000 детского населения) 2017-2021г.г.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8.06</c:v>
                </c:pt>
                <c:pt idx="1">
                  <c:v>12.2</c:v>
                </c:pt>
                <c:pt idx="2">
                  <c:v>6.6</c:v>
                </c:pt>
                <c:pt idx="3">
                  <c:v>5.2</c:v>
                </c:pt>
                <c:pt idx="4">
                  <c:v>2.2999999999999998</c:v>
                </c:pt>
                <c:pt idx="5">
                  <c:v>1.2</c:v>
                </c:pt>
                <c:pt idx="6">
                  <c:v>3.8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11072496"/>
        <c:axId val="-511092624"/>
      </c:lineChart>
      <c:catAx>
        <c:axId val="-511072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511092624"/>
        <c:crosses val="autoZero"/>
        <c:auto val="1"/>
        <c:lblAlgn val="ctr"/>
        <c:lblOffset val="100"/>
        <c:noMultiLvlLbl val="0"/>
      </c:catAx>
      <c:valAx>
        <c:axId val="-511092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11072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заболеваемости болезнями системы кровообращения взрослого населения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(на 1000 населения) в 2015-2023 г.г.</a:t>
            </a:r>
          </a:p>
        </c:rich>
      </c:tx>
      <c:layout>
        <c:manualLayout>
          <c:xMode val="edge"/>
          <c:yMode val="edge"/>
          <c:x val="0.10615157480314973"/>
          <c:y val="2.3809523809523812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заболеваемости болезнями системы кровообращения взрослого населения (на 1000 населения) в 2015-2021 г.г.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414.7</c:v>
                </c:pt>
                <c:pt idx="1">
                  <c:v>390.3</c:v>
                </c:pt>
                <c:pt idx="2">
                  <c:v>403</c:v>
                </c:pt>
                <c:pt idx="3">
                  <c:v>430.2</c:v>
                </c:pt>
                <c:pt idx="4">
                  <c:v>428.2</c:v>
                </c:pt>
                <c:pt idx="5">
                  <c:v>415</c:v>
                </c:pt>
                <c:pt idx="6">
                  <c:v>398.97</c:v>
                </c:pt>
                <c:pt idx="7">
                  <c:v>404.3</c:v>
                </c:pt>
                <c:pt idx="8">
                  <c:v>397.6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11065968"/>
        <c:axId val="-511076848"/>
      </c:lineChart>
      <c:catAx>
        <c:axId val="-51106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511076848"/>
        <c:crosses val="autoZero"/>
        <c:auto val="1"/>
        <c:lblAlgn val="ctr"/>
        <c:lblOffset val="100"/>
        <c:noMultiLvlLbl val="0"/>
      </c:catAx>
      <c:valAx>
        <c:axId val="-511076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11065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общей заболеваемости взрослого населения туберкулезом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(на 100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тыс.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 населения) в 2010-2023 г.г.</a:t>
            </a:r>
          </a:p>
        </c:rich>
      </c:tx>
      <c:layout>
        <c:manualLayout>
          <c:xMode val="edge"/>
          <c:yMode val="edge"/>
          <c:x val="0.10615157480314973"/>
          <c:y val="2.3809523809523812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общей заболеваемости туберкулезом взрослого населения (на 100 тыс. населения) в 2010-2021 г.г.</c:v>
                </c:pt>
              </c:strCache>
            </c:strRef>
          </c:tx>
          <c:cat>
            <c:numRef>
              <c:f>Лист1!$A$2:$A$15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64.5</c:v>
                </c:pt>
                <c:pt idx="1">
                  <c:v>94.1</c:v>
                </c:pt>
                <c:pt idx="2">
                  <c:v>76.7</c:v>
                </c:pt>
                <c:pt idx="3">
                  <c:v>82.7</c:v>
                </c:pt>
                <c:pt idx="4">
                  <c:v>39.9</c:v>
                </c:pt>
                <c:pt idx="5">
                  <c:v>56.2</c:v>
                </c:pt>
                <c:pt idx="6">
                  <c:v>57.4</c:v>
                </c:pt>
                <c:pt idx="7">
                  <c:v>53.2</c:v>
                </c:pt>
                <c:pt idx="8">
                  <c:v>32.5</c:v>
                </c:pt>
                <c:pt idx="9">
                  <c:v>33.299999999999997</c:v>
                </c:pt>
                <c:pt idx="10">
                  <c:v>39.299999999999997</c:v>
                </c:pt>
                <c:pt idx="11">
                  <c:v>32.979999999999997</c:v>
                </c:pt>
                <c:pt idx="12">
                  <c:v>33.299999999999997</c:v>
                </c:pt>
                <c:pt idx="13">
                  <c:v>39.4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11089360"/>
        <c:axId val="-511065424"/>
      </c:lineChart>
      <c:catAx>
        <c:axId val="-511089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511065424"/>
        <c:crosses val="autoZero"/>
        <c:auto val="1"/>
        <c:lblAlgn val="ctr"/>
        <c:lblOffset val="100"/>
        <c:noMultiLvlLbl val="0"/>
      </c:catAx>
      <c:valAx>
        <c:axId val="-511065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11089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</cp:revision>
  <dcterms:created xsi:type="dcterms:W3CDTF">2024-09-13T08:41:00Z</dcterms:created>
  <dcterms:modified xsi:type="dcterms:W3CDTF">2024-09-13T08:41:00Z</dcterms:modified>
</cp:coreProperties>
</file>